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09" w:rsidRDefault="00532609" w:rsidP="004341C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Учитель\Pictures\2023-09-25 био 10\био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5 био 10\био 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09" w:rsidRDefault="00532609" w:rsidP="004341C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609" w:rsidRDefault="00532609" w:rsidP="004341C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454" w:rsidRDefault="00692454" w:rsidP="0069245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1C9" w:rsidRDefault="004341C9" w:rsidP="00692454">
      <w:pPr>
        <w:spacing w:after="0" w:line="264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41C9" w:rsidRDefault="004341C9" w:rsidP="004341C9">
      <w:pPr>
        <w:spacing w:after="0" w:line="264" w:lineRule="auto"/>
        <w:ind w:left="120"/>
        <w:jc w:val="both"/>
        <w:rPr>
          <w:lang w:val="ru-RU"/>
        </w:rPr>
      </w:pP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природы и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обеспечении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её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структура.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внутрипредметных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естественно-научного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способности адаптироваться к изменениям динамично развивающегося современного мира.</w:t>
      </w:r>
      <w:proofErr w:type="gramEnd"/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культуросообразного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биологического образования.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Достижение цели изучения учебного предмета «Биология» на базовом уровне обеспечивается решением следующих задач: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агробиотехнологий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609" w:rsidRPr="00692454" w:rsidRDefault="00532609" w:rsidP="0069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1. Биология как наука.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Портреты: Ч. Дарвин, Г. Мендель, Н. К. Кольцов, Дж. Уотсон и Ф. Крик.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Таблицы и схемы: «Методы познания живой природы».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1. «Использование различных методов при изучении биологических объектов».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2. Живые системы и их организация.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Свойства биосистем и их разнообразие.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экосистемный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(биогеоценотический), биосферный.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Таблицы и схемы: «Основные признаки жизни», «Уровни организации живой природы».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модель молекулы ДНК.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 Химический состав и строение клетки.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воды и минеральных веще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в кл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етке. Поддержание осмотического баланса.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Углеводы: моносахариды (глюкоза, рибоза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дезоксирибоза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Биологические функции углеводов.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Липиды: триглицериды, фосфолипиды, стероиды.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Гидрофильно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Типы клеток: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эукариотическая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прокариотическая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Особенности строения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прокариотической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клетки. Клеточная стенка бактерий. Строение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эукариотической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клетки. Основные отличия растительной, животной и грибной клетки.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Поверхностные структуры клеток – клеточная стенка,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гликокаликс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Одномембранные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органоиды клетки: ЭПС, аппарат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Гольджи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Немембранные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 веще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в кл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етке.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Портреты: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 Левенгук, Р. Гук, Т. Шванн, М.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Шлейден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Р. Вирхов, Дж. Уотсон, Ф. Крик, М.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Уилкинс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Р. Франклин, К. М. Бэр.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эукариотической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прокариотической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клетки», «Строение ядра клетки», «Углеводы», «Липиды».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4. Жизнедеятельность клетки.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Фотосинтез.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Световая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темновая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Хемосинтез.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Хемосинтезирующие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бактерии. Значение хемосинтеза для жизни на Земле.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фосфорилирование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Эффективность энергетического обмена.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Ивановский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интеграза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Профилактика распространения вирусных заболеваний.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Портреты: Н. К. Кольцов, Д. И. Ивановский, К. А. Тимирязев.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схемы: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5. Размножение и индивидуальное развитие организмов.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Программируемая гибель клетки –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апоптоз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многоклеточных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Половое размножение, его отличия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бесполого.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6. Наследственность и изменчивость организмов.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едино­образия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Дигибридное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дигибридного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Хромосомная теория наследственности. Генетические карты.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Генетика пола. Хромосомное определение пола.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Аутосомы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половые хромосомы.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Гомогаметные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гетерогаметные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организмы. Наследование признаков, сцепленных с полом.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модификационной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модификационной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изменчивости.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генные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Внеядерная наследственность и изменчивость.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полногеномное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секвенирование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генотипирование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схемы: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Дигибридное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скрещивание», «Цитологические основы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дигибридного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изменчивости», «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Модификационная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Дигибридное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дигибридного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скрещивания у дрозофилы на готовых микропрепаратах».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Лабораторная работа № 6. «Изучение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модификационной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изменчивости, построение вариационного ряда и вариационной кривой».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7. «Анализ мутаций у дрозофилы на готовых микропрепаратах».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2. «Составление и анализ родословных человека».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7. Селекция организмов. Основы биотехнологии.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полиплоидов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Достижения селекции растений, животных и микроорганизмов.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трансгенных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Демонстрации: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Портреты: Н. И. Вавилов, И. В. Мичурин, Г. Д. Карпеченко, М. Ф. Иванов.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Лабораторные и практические работы: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Экскурсия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агроуниверситета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научного центра)».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32609" w:rsidRPr="00692454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532609" w:rsidRPr="00692454" w:rsidRDefault="00532609" w:rsidP="0069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7138189"/>
      <w:bookmarkEnd w:id="0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предметным.</w:t>
      </w:r>
      <w:proofErr w:type="gramEnd"/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 и строить жизненные планы.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воспитания:</w:t>
      </w:r>
    </w:p>
    <w:p w:rsidR="00532609" w:rsidRPr="00692454" w:rsidRDefault="0053260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4341C9" w:rsidRPr="00692454">
          <w:pgSz w:w="11906" w:h="16383"/>
          <w:pgMar w:top="1134" w:right="850" w:bottom="1134" w:left="1701" w:header="720" w:footer="720" w:gutter="0"/>
          <w:cols w:space="720"/>
        </w:sectPr>
      </w:pP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17138193"/>
      <w:bookmarkEnd w:id="1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патриотического воспитания: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духовных ценностей российского народа;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эстетического воспитания: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эмоционального воздействия живой природы и её ценности;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5) физического воспитания, формирования культуры здоровья и эмоционального благополучия: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трудового воспитания: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ценности мастерства, трудолюбие;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экологического воспитания: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глобального характера экологических проблем и путей их решения;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ценности научного познания: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сформированность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логические рассуждения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креативное мышление при решении жизненных проблем.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формировать научный тип мышления, владеть научной терминологией, ключевыми понятиями и методами;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интегрировать знания из разных предметных областей;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работа с информацией: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делать осознанный выбор, аргументировать его, брать ответственность за решение;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приобретённый опыт;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и право других на ошибки;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138318760"/>
      <w:bookmarkStart w:id="3" w:name="_Toc134720971"/>
      <w:bookmarkEnd w:id="2"/>
      <w:bookmarkEnd w:id="3"/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Предметные результаты освоения учебного предмета «Биология» </w:t>
      </w:r>
      <w:r w:rsidRPr="0069245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10 классе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отражать: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саморегуляция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уровневая организация живых систем,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самовоспроизведение (репродукция), наследственность, изменчивость, рост и развитие;</w:t>
      </w:r>
      <w:proofErr w:type="gramEnd"/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решать элементарные генетические задачи на мон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дигибридное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Предметные результаты освоения учебного предмета «Биология» </w:t>
      </w:r>
      <w:r w:rsidRPr="0069245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11 классе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отражать: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сформированность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консументы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редуценты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цепи питания, экологическая пирамида, биогеоценоз, биосфера;</w:t>
      </w:r>
      <w:proofErr w:type="gramEnd"/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Северцова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консументов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редуцентов</w:t>
      </w:r>
      <w:proofErr w:type="spellEnd"/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4341C9" w:rsidRPr="00692454" w:rsidRDefault="004341C9" w:rsidP="006924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4341C9" w:rsidRPr="00692454">
          <w:pgSz w:w="11906" w:h="16383"/>
          <w:pgMar w:top="1134" w:right="850" w:bottom="1134" w:left="1701" w:header="720" w:footer="720" w:gutter="0"/>
          <w:cols w:space="720"/>
        </w:sectPr>
      </w:pPr>
    </w:p>
    <w:p w:rsidR="0053260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lock-17138194"/>
      <w:bookmarkEnd w:id="4"/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532609" w:rsidRPr="00692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470"/>
        <w:gridCol w:w="1315"/>
        <w:gridCol w:w="1955"/>
        <w:gridCol w:w="2036"/>
        <w:gridCol w:w="3366"/>
      </w:tblGrid>
      <w:tr w:rsidR="00532609" w:rsidRPr="00692454" w:rsidTr="008A536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692454" w:rsidTr="008A53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Жизнедеятельность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Наследственность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изменчивость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Селекция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организмов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D6470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292</w:t>
              </w:r>
            </w:hyperlink>
          </w:p>
        </w:tc>
      </w:tr>
      <w:tr w:rsidR="00532609" w:rsidRPr="00692454" w:rsidTr="008A53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692454" w:rsidTr="008A53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609" w:rsidRPr="00692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10класс</w:t>
      </w:r>
    </w:p>
    <w:tbl>
      <w:tblPr>
        <w:tblpPr w:leftFromText="180" w:rightFromText="180" w:vertAnchor="text" w:horzAnchor="margin" w:tblpY="121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3376"/>
        <w:gridCol w:w="992"/>
        <w:gridCol w:w="1955"/>
        <w:gridCol w:w="2036"/>
        <w:gridCol w:w="1468"/>
        <w:gridCol w:w="3413"/>
      </w:tblGrid>
      <w:tr w:rsidR="00532609" w:rsidRPr="00692454" w:rsidTr="00532609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692454" w:rsidTr="005326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6924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6122</w:t>
              </w:r>
            </w:hyperlink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8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632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6122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6564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D64704" w:rsidRDefault="00D64704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Химический состав клетки. Вода и </w:t>
            </w:r>
            <w:bookmarkStart w:id="5" w:name="_GoBack"/>
            <w:bookmarkEnd w:id="5"/>
            <w:r w:rsidRPr="00D64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минеральные соли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674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Белки. Состав и строение белков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Липиды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6870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Нуклеиновые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АТФ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История и методы изучения клетки.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Клеточная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532609" w:rsidRPr="0069245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Клетка как целостная живая система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Строение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эукариотической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8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716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метаболизм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766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Фотосинтез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Хемосинтез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Энергетический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aae</w:t>
              </w:r>
              <w:proofErr w:type="spellEnd"/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796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Трансляция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биосинтез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796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Неклеточные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вирусы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7540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размножения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7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Мейоз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и развитие половых клеток. Оплодотворение.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Лабораторная работа № 4 «Изучение строения половых клеток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81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8878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Дигибридное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дигибридного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Генетика пола.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Наследование признаков, сцепленных с полом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Библиотека ЦОК </w:t>
            </w:r>
            <w:hyperlink r:id="rId45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модификационной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изменчивости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вариационного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ряда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вариационной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кривой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efe</w:t>
              </w:r>
              <w:proofErr w:type="spellEnd"/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efe</w:t>
              </w:r>
              <w:proofErr w:type="spellEnd"/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Генетика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532609" w:rsidRPr="0069245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Селекция как наука и процесс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9214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Методы и достижения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селекции растений и животных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Библиотека ЦОК </w:t>
            </w:r>
            <w:hyperlink r:id="rId50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9214</w:t>
              </w:r>
            </w:hyperlink>
          </w:p>
        </w:tc>
      </w:tr>
      <w:tr w:rsidR="00532609" w:rsidRPr="00D64704" w:rsidTr="0053260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Биотехнология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отрасль</w:t>
            </w:r>
            <w:proofErr w:type="spellEnd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924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9336</w:t>
              </w:r>
            </w:hyperlink>
          </w:p>
        </w:tc>
      </w:tr>
      <w:tr w:rsidR="00532609" w:rsidRPr="00692454" w:rsidTr="00532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609" w:rsidRPr="00692454" w:rsidRDefault="00532609" w:rsidP="00692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32609" w:rsidRPr="00692454" w:rsidRDefault="0053260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609" w:rsidRPr="00692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1C9" w:rsidRPr="00692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1C9" w:rsidRPr="00692454" w:rsidRDefault="004341C9" w:rsidP="0069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4341C9" w:rsidRPr="00692454" w:rsidRDefault="004341C9" w:rsidP="0069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​‌•</w:t>
      </w:r>
      <w:r w:rsidR="00532609"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Биология, 10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класс/ Пасечник В.В., Каменский А.А., Рубцов </w:t>
      </w:r>
      <w:r w:rsidRPr="00692454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92454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 другие /Под ред. Пасечника В.В., Акционерное общество «Издательство «Просвещение»</w:t>
      </w:r>
      <w:r w:rsidRPr="0069245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341C9" w:rsidRPr="00692454" w:rsidRDefault="004341C9" w:rsidP="0069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050AC1" w:rsidRPr="00692454" w:rsidRDefault="004341C9" w:rsidP="00692454">
      <w:pPr>
        <w:pStyle w:val="af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692454">
        <w:rPr>
          <w:color w:val="000000"/>
          <w:sz w:val="28"/>
          <w:szCs w:val="28"/>
        </w:rPr>
        <w:t>​</w:t>
      </w:r>
      <w:r w:rsidR="00050AC1" w:rsidRPr="00692454">
        <w:rPr>
          <w:color w:val="404040"/>
          <w:sz w:val="28"/>
          <w:szCs w:val="28"/>
        </w:rPr>
        <w:t>1.     Биология. Весь школьный курс. Ботаника, зоология, анатомия, физиология человека и общая биология. Для абитуриентов, старшеклассников и учителей.</w:t>
      </w:r>
    </w:p>
    <w:p w:rsidR="00050AC1" w:rsidRPr="00692454" w:rsidRDefault="00050AC1" w:rsidP="00692454">
      <w:pPr>
        <w:pStyle w:val="af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692454">
        <w:rPr>
          <w:color w:val="404040"/>
          <w:sz w:val="28"/>
          <w:szCs w:val="28"/>
        </w:rPr>
        <w:t xml:space="preserve">2.     Уроки биологии Кирилла и </w:t>
      </w:r>
      <w:proofErr w:type="spellStart"/>
      <w:r w:rsidRPr="00692454">
        <w:rPr>
          <w:color w:val="404040"/>
          <w:sz w:val="28"/>
          <w:szCs w:val="28"/>
        </w:rPr>
        <w:t>Мефодия</w:t>
      </w:r>
      <w:proofErr w:type="spellEnd"/>
      <w:r w:rsidRPr="00692454">
        <w:rPr>
          <w:color w:val="404040"/>
          <w:sz w:val="28"/>
          <w:szCs w:val="28"/>
        </w:rPr>
        <w:t xml:space="preserve">. 6, 7, 8, 10, 11  класс. //Виртуальная школа Кирилла и </w:t>
      </w:r>
      <w:proofErr w:type="spellStart"/>
      <w:r w:rsidRPr="00692454">
        <w:rPr>
          <w:color w:val="404040"/>
          <w:sz w:val="28"/>
          <w:szCs w:val="28"/>
        </w:rPr>
        <w:t>Мефодия</w:t>
      </w:r>
      <w:proofErr w:type="spellEnd"/>
      <w:r w:rsidRPr="00692454">
        <w:rPr>
          <w:color w:val="404040"/>
          <w:sz w:val="28"/>
          <w:szCs w:val="28"/>
        </w:rPr>
        <w:t>.</w:t>
      </w:r>
    </w:p>
    <w:p w:rsidR="00050AC1" w:rsidRPr="00692454" w:rsidRDefault="00050AC1" w:rsidP="00692454">
      <w:pPr>
        <w:pStyle w:val="af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692454">
        <w:rPr>
          <w:color w:val="404040"/>
          <w:sz w:val="28"/>
          <w:szCs w:val="28"/>
        </w:rPr>
        <w:t>3.     Комплекты тестов по биологии по основным темам курса 6, 7, 8, 9, 10, 11 классов</w:t>
      </w:r>
    </w:p>
    <w:p w:rsidR="00050AC1" w:rsidRPr="00692454" w:rsidRDefault="00050AC1" w:rsidP="00692454">
      <w:pPr>
        <w:pStyle w:val="af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692454">
        <w:rPr>
          <w:color w:val="404040"/>
          <w:sz w:val="28"/>
          <w:szCs w:val="28"/>
        </w:rPr>
        <w:t>4.     Комплект заданий подготовки к ЕГЭ по биологии 11 класс</w:t>
      </w:r>
    </w:p>
    <w:p w:rsidR="00050AC1" w:rsidRPr="00692454" w:rsidRDefault="00050AC1" w:rsidP="00692454">
      <w:pPr>
        <w:pStyle w:val="af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692454">
        <w:rPr>
          <w:color w:val="404040"/>
          <w:sz w:val="28"/>
          <w:szCs w:val="28"/>
        </w:rPr>
        <w:t>5.     Компьютерные презентации к урокам биологии 5-11 классы</w:t>
      </w:r>
    </w:p>
    <w:p w:rsidR="00050AC1" w:rsidRPr="00692454" w:rsidRDefault="00050AC1" w:rsidP="00692454">
      <w:pPr>
        <w:pStyle w:val="2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1C9" w:rsidRPr="00692454" w:rsidRDefault="004341C9" w:rsidP="00692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1C9" w:rsidRPr="00692454" w:rsidRDefault="004341C9" w:rsidP="0069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050AC1" w:rsidRPr="00692454" w:rsidRDefault="00050AC1" w:rsidP="0069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</w:pPr>
      <w:r w:rsidRPr="00692454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>1. </w:t>
      </w:r>
      <w:hyperlink r:id="rId52" w:history="1">
        <w:r w:rsidRPr="00692454">
          <w:rPr>
            <w:rFonts w:ascii="Times New Roman" w:eastAsia="Times New Roman" w:hAnsi="Times New Roman" w:cs="Times New Roman"/>
            <w:b/>
            <w:bCs/>
            <w:color w:val="728993"/>
            <w:sz w:val="28"/>
            <w:szCs w:val="28"/>
            <w:lang w:val="ru-RU" w:eastAsia="ru-RU"/>
          </w:rPr>
          <w:t>http://school-collection.edu.ru</w:t>
        </w:r>
      </w:hyperlink>
      <w:r w:rsidRPr="00692454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>  - Коллекция цифровых образовательных ресурсов.</w:t>
      </w:r>
    </w:p>
    <w:p w:rsidR="00050AC1" w:rsidRPr="00692454" w:rsidRDefault="00050AC1" w:rsidP="0069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</w:pPr>
      <w:r w:rsidRPr="00692454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> 2. </w:t>
      </w:r>
      <w:hyperlink r:id="rId53" w:history="1">
        <w:r w:rsidRPr="00692454">
          <w:rPr>
            <w:rFonts w:ascii="Times New Roman" w:eastAsia="Times New Roman" w:hAnsi="Times New Roman" w:cs="Times New Roman"/>
            <w:b/>
            <w:bCs/>
            <w:color w:val="728993"/>
            <w:sz w:val="28"/>
            <w:szCs w:val="28"/>
            <w:lang w:val="ru-RU" w:eastAsia="ru-RU"/>
          </w:rPr>
          <w:t>http://www.electroniclibrary21.ru  </w:t>
        </w:r>
      </w:hyperlink>
      <w:r w:rsidRPr="00692454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>- Электронная  библиотека 21 века. </w:t>
      </w:r>
    </w:p>
    <w:p w:rsidR="00050AC1" w:rsidRPr="00692454" w:rsidRDefault="00050AC1" w:rsidP="0069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</w:pPr>
      <w:r w:rsidRPr="00692454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>3. </w:t>
      </w:r>
      <w:hyperlink r:id="rId54" w:history="1">
        <w:r w:rsidRPr="00692454">
          <w:rPr>
            <w:rFonts w:ascii="Times New Roman" w:eastAsia="Times New Roman" w:hAnsi="Times New Roman" w:cs="Times New Roman"/>
            <w:b/>
            <w:bCs/>
            <w:color w:val="728993"/>
            <w:sz w:val="28"/>
            <w:szCs w:val="28"/>
            <w:lang w:val="ru-RU" w:eastAsia="ru-RU"/>
          </w:rPr>
          <w:t>http://www.ege.edu.ru  </w:t>
        </w:r>
      </w:hyperlink>
      <w:r w:rsidRPr="00692454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>- Официальный информационный портал ЕГЭ</w:t>
      </w:r>
    </w:p>
    <w:p w:rsidR="00564A6C" w:rsidRPr="00050AC1" w:rsidRDefault="00050AC1" w:rsidP="00692454">
      <w:pPr>
        <w:spacing w:after="0" w:line="240" w:lineRule="auto"/>
        <w:rPr>
          <w:lang w:val="ru-RU"/>
        </w:rPr>
      </w:pPr>
      <w:r w:rsidRPr="0069245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4.</w:t>
      </w:r>
      <w:hyperlink r:id="rId55" w:history="1"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http</w:t>
        </w:r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ru</w:t>
        </w:r>
        <w:proofErr w:type="spellEnd"/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biologia</w:t>
        </w:r>
        <w:proofErr w:type="spellEnd"/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livejournal</w:t>
        </w:r>
        <w:proofErr w:type="spellEnd"/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  <w:lang w:val="ru-RU"/>
          </w:rPr>
          <w:t>.</w:t>
        </w:r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com</w:t>
        </w:r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  <w:lang w:val="ru-RU"/>
          </w:rPr>
          <w:t>/12284.</w:t>
        </w:r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html</w:t>
        </w:r>
      </w:hyperlink>
      <w:hyperlink r:id="rId56" w:history="1">
        <w:r w:rsidRPr="00692454">
          <w:rPr>
            <w:rFonts w:ascii="Times New Roman" w:hAnsi="Times New Roman" w:cs="Times New Roman"/>
            <w:b/>
            <w:bCs/>
            <w:color w:val="728993"/>
            <w:sz w:val="28"/>
            <w:szCs w:val="28"/>
            <w:shd w:val="clear" w:color="auto" w:fill="FFFFFF"/>
          </w:rPr>
          <w:t> </w:t>
        </w:r>
      </w:hyperlink>
      <w:r w:rsidRPr="0069245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9245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-</w:t>
      </w:r>
      <w:r w:rsidRPr="0069245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 </w:t>
      </w:r>
      <w:r w:rsidRPr="0069245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Проблемы эволюции</w:t>
      </w:r>
    </w:p>
    <w:sectPr w:rsidR="00564A6C" w:rsidRPr="00050AC1" w:rsidSect="0056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68" w:rsidRDefault="008A5368" w:rsidP="008D5094">
      <w:pPr>
        <w:spacing w:after="0" w:line="240" w:lineRule="auto"/>
      </w:pPr>
      <w:r>
        <w:separator/>
      </w:r>
    </w:p>
  </w:endnote>
  <w:endnote w:type="continuationSeparator" w:id="0">
    <w:p w:rsidR="008A5368" w:rsidRDefault="008A5368" w:rsidP="008D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35"/>
      <w:docPartObj>
        <w:docPartGallery w:val="Page Numbers (Bottom of Page)"/>
        <w:docPartUnique/>
      </w:docPartObj>
    </w:sdtPr>
    <w:sdtEndPr/>
    <w:sdtContent>
      <w:p w:rsidR="008A5368" w:rsidRDefault="008A536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0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A5368" w:rsidRDefault="008A53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68" w:rsidRDefault="008A5368" w:rsidP="008D5094">
      <w:pPr>
        <w:spacing w:after="0" w:line="240" w:lineRule="auto"/>
      </w:pPr>
      <w:r>
        <w:separator/>
      </w:r>
    </w:p>
  </w:footnote>
  <w:footnote w:type="continuationSeparator" w:id="0">
    <w:p w:rsidR="008A5368" w:rsidRDefault="008A5368" w:rsidP="008D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1C9"/>
    <w:rsid w:val="00012569"/>
    <w:rsid w:val="00050AC1"/>
    <w:rsid w:val="00132FE9"/>
    <w:rsid w:val="00264462"/>
    <w:rsid w:val="002A26F4"/>
    <w:rsid w:val="004341C9"/>
    <w:rsid w:val="00532609"/>
    <w:rsid w:val="00564A6C"/>
    <w:rsid w:val="005B3089"/>
    <w:rsid w:val="00692454"/>
    <w:rsid w:val="007E0439"/>
    <w:rsid w:val="008A5368"/>
    <w:rsid w:val="008D5094"/>
    <w:rsid w:val="00D32011"/>
    <w:rsid w:val="00D44BDB"/>
    <w:rsid w:val="00D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4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1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3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341C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341C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4341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41C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4341C9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4341C9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1C9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4341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341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4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4341C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34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3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1C9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4341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unhideWhenUsed/>
    <w:rsid w:val="008D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5094"/>
    <w:rPr>
      <w:lang w:val="en-US"/>
    </w:rPr>
  </w:style>
  <w:style w:type="paragraph" w:styleId="af2">
    <w:name w:val="List Paragraph"/>
    <w:basedOn w:val="a"/>
    <w:uiPriority w:val="34"/>
    <w:qFormat/>
    <w:rsid w:val="0005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://ru-biologia.livejournal.com/12284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292" TargetMode="External"/><Relationship Id="rId20" Type="http://schemas.openxmlformats.org/officeDocument/2006/relationships/hyperlink" Target="https://m.edsoo.ru/863e6564" TargetMode="External"/><Relationship Id="rId29" Type="http://schemas.openxmlformats.org/officeDocument/2006/relationships/hyperlink" Target="https://m.edsoo.ru/863e766c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://http/www.ege.edu.ru/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://www.electroniclibrary21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c292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://ru-biologia.livejournal.com/12284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63e933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8092</Words>
  <Characters>46128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2023-09-24T18:38:00Z</dcterms:created>
  <dcterms:modified xsi:type="dcterms:W3CDTF">2023-09-28T09:32:00Z</dcterms:modified>
</cp:coreProperties>
</file>